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365D"/>
          <w:sz w:val="40"/>
          <w:szCs w:val="40"/>
        </w:rPr>
        <w:t xml:space="preserve">📬  BehördenKlar</w:t>
      </w:r>
    </w:p>
    <w:p>
      <w:pPr>
        <w:spacing w:after="60"/>
      </w:pPr>
      <w:r>
        <w:rPr>
          <w:rFonts w:ascii="Calibri" w:cs="Calibri" w:eastAsia="Calibri" w:hAnsi="Calibri"/>
          <w:color w:val="1A202C"/>
          <w:sz w:val="26"/>
          <w:szCs w:val="26"/>
        </w:rPr>
        <w:t xml:space="preserve">Datenschutz &amp; Sicherheit auf einen Blick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A6472"/>
          <w:sz w:val="21"/>
          <w:szCs w:val="21"/>
        </w:rPr>
        <w:t xml:space="preserve">Für Beratungsstellen, Sozialverbände und Kooperationspartner</w:t>
      </w:r>
    </w:p>
    <w:p>
      <w:pPr>
        <w:spacing w:after="120"/>
      </w:pPr>
      <w:r>
        <w:rPr>
          <w:rFonts w:ascii="Calibri" w:cs="Calibri" w:eastAsia="Calibri" w:hAnsi="Calibri"/>
          <w:color w:val="5A6472"/>
          <w:sz w:val="18"/>
          <w:szCs w:val="18"/>
        </w:rPr>
        <w:t xml:space="preserve">Stand: 15.07.2026   ·   behoerdenbriefhelfer@gmail.com   ·   behoerdenklar.pages.dev</w:t>
      </w:r>
    </w:p>
    <w:p>
      <w:pPr>
        <w:pBdr>
          <w:bottom w:val="single" w:color="1A365D" w:sz="6"/>
        </w:pBdr>
        <w:spacing w:after="200" w:before="60"/>
      </w:pPr>
      <w:r>
        <w:rPr>
          <w:sz w:val="2"/>
          <w:szCs w:val="2"/>
        </w:rPr>
        <w:t xml:space="preserve"/>
      </w:r>
    </w:p>
    <w:p>
      <w:pPr>
        <w:spacing w:after="160" w:line="276"/>
      </w:pPr>
      <w:r>
        <w:rPr>
          <w:rFonts w:ascii="Calibri" w:cs="Calibri" w:eastAsia="Calibri" w:hAnsi="Calibri"/>
          <w:color w:val="1A202C"/>
          <w:sz w:val="21"/>
          <w:szCs w:val="21"/>
        </w:rPr>
        <w:t xml:space="preserve">BehördenKlar hilft Menschen, Behördenbriefe zu verstehen: </w:t>
      </w:r>
      <w:r>
        <w:rPr>
          <w:rFonts w:ascii="Calibri" w:cs="Calibri" w:eastAsia="Calibri" w:hAnsi="Calibri"/>
          <w:color w:val="1A202C"/>
          <w:sz w:val="21"/>
          <w:szCs w:val="21"/>
        </w:rPr>
        <w:t xml:space="preserve">Brief fotografieren, Erklärung in einfacher Sprache erhalten — mit Fristen, Checkliste und Antwort-Hilfe, auf Wunsch in 9 weiteren Sprachen. Weil Behördenbriefe hochsensible Daten enthalten, wurde die App von Grund auf datensparsam gebaut. Dieses Dokument erklärt transparent, was mit den Daten passiert — auch die Punkte, die noch offen sind.</w:t>
      </w:r>
    </w:p>
    <w:tbl>
      <w:tblPr>
        <w:tblW w:type="dxa" w:w="9360"/>
        <w:tblBorders>
          <w:top w:val="single" w:color="E8EEF5" w:sz="2"/>
          <w:left w:val="single" w:color="1A365D" w:sz="18"/>
          <w:bottom w:val="single" w:color="E8EEF5" w:sz="2"/>
          <w:right w:val="single" w:color="E8EEF5" w:sz="2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E8EEF5" w:color="auto" w:val="clear"/>
            <w:tcMar>
              <w:top w:type="dxa" w:w="130"/>
              <w:left w:type="dxa" w:w="170"/>
              <w:bottom w:type="dxa" w:w="130"/>
              <w:right w:type="dxa" w:w="170"/>
            </w:tcMar>
          </w:tcPr>
          <w:p>
            <w:pPr>
              <w:spacing w:after="0" w:line="276"/>
            </w:pPr>
            <w:r>
              <w:rPr>
                <w:rFonts w:ascii="Calibri" w:cs="Calibri" w:eastAsia="Calibri" w:hAnsi="Calibri"/>
                <w:b/>
                <w:bCs/>
                <w:color w:val="1A365D"/>
                <w:sz w:val="21"/>
                <w:szCs w:val="21"/>
              </w:rPr>
              <w:t xml:space="preserve">Das Wichtigste in einem Satz:  </w:t>
            </w:r>
            <w:r>
              <w:rPr>
                <w:rFonts w:ascii="Calibri" w:cs="Calibri" w:eastAsia="Calibri" w:hAnsi="Calibri"/>
                <w:color w:val="1A202C"/>
                <w:sz w:val="21"/>
                <w:szCs w:val="21"/>
              </w:rPr>
              <w:t xml:space="preserve">Es gibt kein Nutzerkonto und keinen zentralen Datenspeicher — die Briefe Ihrer Klientinnen und Klienten liegen verschlüsselt auf deren eigenem Handy, nicht bei uns.</w:t>
            </w:r>
          </w:p>
        </w:tc>
      </w:tr>
    </w:tbl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A365D"/>
          <w:sz w:val="30"/>
          <w:szCs w:val="30"/>
        </w:rPr>
        <w:t xml:space="preserve">Der Datenfluss beim Scannen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8640"/>
      </w:tblGrid>
      <w:tr>
        <w:tc>
          <w:tcPr>
            <w:tcW w:type="dxa" w:w="720"/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65D"/>
                <w:sz w:val="34"/>
                <w:szCs w:val="34"/>
              </w:rPr>
              <w:t xml:space="preserve">1</w:t>
            </w:r>
          </w:p>
        </w:tc>
        <w:tc>
          <w:tcPr>
            <w:tcW w:type="dxa" w:w="8640"/>
            <w:tcMar>
              <w:top w:type="dxa" w:w="40"/>
              <w:left w:type="dxa" w:w="120"/>
              <w:bottom w:type="dxa" w:w="40"/>
            </w:tcMar>
          </w:tcPr>
          <w:p>
            <w:pPr>
              <w:spacing w:after="40" w:line="264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1"/>
                <w:szCs w:val="21"/>
              </w:rPr>
              <w:t xml:space="preserve">Foto entsteht auf dem Gerät  </w:t>
            </w:r>
            <w:r>
              <w:rPr>
                <w:rFonts w:ascii="Calibri" w:cs="Calibri" w:eastAsia="Calibri" w:hAnsi="Calibri"/>
                <w:color w:val="5A6472"/>
                <w:sz w:val="21"/>
                <w:szCs w:val="21"/>
              </w:rPr>
              <w:t xml:space="preserve">und wird vor dem Versand verkleinert.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8640"/>
      </w:tblGrid>
      <w:tr>
        <w:tc>
          <w:tcPr>
            <w:tcW w:type="dxa" w:w="720"/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65D"/>
                <w:sz w:val="34"/>
                <w:szCs w:val="34"/>
              </w:rPr>
              <w:t xml:space="preserve">2</w:t>
            </w:r>
          </w:p>
        </w:tc>
        <w:tc>
          <w:tcPr>
            <w:tcW w:type="dxa" w:w="8640"/>
            <w:tcMar>
              <w:top w:type="dxa" w:w="40"/>
              <w:left w:type="dxa" w:w="120"/>
              <w:bottom w:type="dxa" w:w="40"/>
            </w:tcMar>
          </w:tcPr>
          <w:p>
            <w:pPr>
              <w:spacing w:after="40" w:line="264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1"/>
                <w:szCs w:val="21"/>
              </w:rPr>
              <w:t xml:space="preserve">Übertragung TLS-verschlüsselt  </w:t>
            </w:r>
            <w:r>
              <w:rPr>
                <w:rFonts w:ascii="Calibri" w:cs="Calibri" w:eastAsia="Calibri" w:hAnsi="Calibri"/>
                <w:color w:val="5A6472"/>
                <w:sz w:val="21"/>
                <w:szCs w:val="21"/>
              </w:rPr>
              <w:t xml:space="preserve">an unseren Vermittlungsserver (Cloudflare). Dieser leitet nur weiter und speichert keine Briefinhalte — nur einen anonymen Tageszähler pro Gerät für 48 Stunden.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8640"/>
      </w:tblGrid>
      <w:tr>
        <w:tc>
          <w:tcPr>
            <w:tcW w:type="dxa" w:w="720"/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65D"/>
                <w:sz w:val="34"/>
                <w:szCs w:val="34"/>
              </w:rPr>
              <w:t xml:space="preserve">3</w:t>
            </w:r>
          </w:p>
        </w:tc>
        <w:tc>
          <w:tcPr>
            <w:tcW w:type="dxa" w:w="8640"/>
            <w:tcMar>
              <w:top w:type="dxa" w:w="40"/>
              <w:left w:type="dxa" w:w="120"/>
              <w:bottom w:type="dxa" w:w="40"/>
            </w:tcMar>
          </w:tcPr>
          <w:p>
            <w:pPr>
              <w:spacing w:after="40" w:line="264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1"/>
                <w:szCs w:val="21"/>
              </w:rPr>
              <w:t xml:space="preserve">KI-Analyse bei Anthropic (USA)  </w:t>
            </w:r>
            <w:r>
              <w:rPr>
                <w:rFonts w:ascii="Calibri" w:cs="Calibri" w:eastAsia="Calibri" w:hAnsi="Calibri"/>
                <w:color w:val="5A6472"/>
                <w:sz w:val="21"/>
                <w:szCs w:val="21"/>
              </w:rPr>
              <w:t xml:space="preserve">Verarbeitung nur zur Analyse, Löschung nach spätestens 30 Tagen, keine Nutzung zum KI-Training.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8640"/>
      </w:tblGrid>
      <w:tr>
        <w:tc>
          <w:tcPr>
            <w:tcW w:type="dxa" w:w="720"/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65D"/>
                <w:sz w:val="34"/>
                <w:szCs w:val="34"/>
              </w:rPr>
              <w:t xml:space="preserve">4</w:t>
            </w:r>
          </w:p>
        </w:tc>
        <w:tc>
          <w:tcPr>
            <w:tcW w:type="dxa" w:w="8640"/>
            <w:tcMar>
              <w:top w:type="dxa" w:w="40"/>
              <w:left w:type="dxa" w:w="120"/>
              <w:bottom w:type="dxa" w:w="40"/>
            </w:tcMar>
          </w:tcPr>
          <w:p>
            <w:pPr>
              <w:spacing w:after="40" w:line="264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1"/>
                <w:szCs w:val="21"/>
              </w:rPr>
              <w:t xml:space="preserve">Ergebnis zurück aufs Gerät  </w:t>
            </w:r>
            <w:r>
              <w:rPr>
                <w:rFonts w:ascii="Calibri" w:cs="Calibri" w:eastAsia="Calibri" w:hAnsi="Calibri"/>
                <w:color w:val="5A6472"/>
                <w:sz w:val="21"/>
                <w:szCs w:val="21"/>
              </w:rPr>
              <w:t xml:space="preserve">dort endet der Weg. Keine Kopie bei uns.</w:t>
            </w:r>
          </w:p>
        </w:tc>
      </w:tr>
    </w:tbl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A365D"/>
          <w:sz w:val="30"/>
          <w:szCs w:val="30"/>
        </w:rPr>
        <w:t xml:space="preserve">Schutzmaßnahmen in der App</w:t>
      </w:r>
    </w:p>
    <w:p>
      <w:pPr>
        <w:spacing w:after="120" w:line="276"/>
      </w:pPr>
      <w:r>
        <w:rPr>
          <w:rFonts w:ascii="Calibri" w:cs="Calibri" w:eastAsia="Calibri" w:hAnsi="Calibri"/>
          <w:i/>
          <w:iCs/>
          <w:color w:val="5A6472"/>
          <w:sz w:val="21"/>
          <w:szCs w:val="21"/>
        </w:rPr>
        <w:t xml:space="preserve">Alle folgenden Maßnahmen sind umgesetzt und technisch überprüfbar:</w:t>
      </w:r>
    </w:p>
    <w:tbl>
      <w:tblPr>
        <w:tblW w:type="dxa" w:w="9360"/>
        <w:tblBorders>
          <w:top w:val="single" w:color="D5DBE2" w:sz="2"/>
          <w:left w:val="single" w:color="D5DBE2" w:sz="2"/>
          <w:bottom w:val="single" w:color="D5DBE2" w:sz="2"/>
          <w:right w:val="single" w:color="D5DBE2" w:sz="2"/>
          <w:insideH w:val="single" w:color="D5DBE2" w:sz="2"/>
          <w:insideV w:val="single" w:color="D5DBE2" w:sz="2"/>
        </w:tblBorders>
      </w:tblPr>
      <w:tblGrid>
        <w:gridCol w:w="3100"/>
        <w:gridCol w:w="6260"/>
      </w:tblGrid>
      <w:tr>
        <w:trPr>
          <w:tblHeader/>
        </w:trPr>
        <w:tc>
          <w:tcPr>
            <w:tcW w:type="dxa" w:w="3100"/>
            <w:shd w:fill="1A365D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6260"/>
            <w:shd w:fill="1A365D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Was das konkret bedeutet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Lokale Verschlüsselung</w:t>
            </w:r>
          </w:p>
        </w:tc>
        <w:tc>
          <w:tcPr>
            <w:tcW w:type="dxa" w:w="626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Das gesamte Brief-Archiv ist mit AES-256-GCM verschlüsselt. Der Schlüssel liegt im Sicherheitsspeicher des Geräts (iOS Keychain / Android Keystore) und verlässt es nie.</w:t>
            </w:r>
          </w:p>
        </w:tc>
      </w:tr>
      <w:tr>
        <w:tc>
          <w:tcPr>
            <w:tcW w:type="dxa" w:w="310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App-Sperre (optional)</w:t>
            </w:r>
          </w:p>
        </w:tc>
        <w:tc>
          <w:tcPr>
            <w:tcW w:type="dxa" w:w="626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Face ID / Fingerabdruck / Geräte-Code beim Öffnen der App.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Sichtschutz</w:t>
            </w:r>
          </w:p>
        </w:tc>
        <w:tc>
          <w:tcPr>
            <w:tcW w:type="dxa" w:w="626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Im App-Umschalter wird der Inhalt verdeckt — keine Brief-Vorschau.</w:t>
            </w:r>
          </w:p>
        </w:tc>
      </w:tr>
      <w:tr>
        <w:tc>
          <w:tcPr>
            <w:tcW w:type="dxa" w:w="310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Auto-Löschen (optional)</w:t>
            </w:r>
          </w:p>
        </w:tc>
        <w:tc>
          <w:tcPr>
            <w:tcW w:type="dxa" w:w="626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Briefe werden nach 30 oder 90 Tagen automatisch entfernt.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„Alles löschen"</w:t>
            </w:r>
          </w:p>
        </w:tc>
        <w:tc>
          <w:tcPr>
            <w:tcW w:type="dxa" w:w="626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Ein Tipp entfernt sämtliche Daten inklusive Verschlüsselungs-Schlüssel.</w:t>
            </w:r>
          </w:p>
        </w:tc>
      </w:tr>
      <w:tr>
        <w:tc>
          <w:tcPr>
            <w:tcW w:type="dxa" w:w="310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Kein Konto</w:t>
            </w:r>
          </w:p>
        </w:tc>
        <w:tc>
          <w:tcPr>
            <w:tcW w:type="dxa" w:w="626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Keine Registrierung, keine E-Mail, kein Passwort nötig.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Kein Tracking</w:t>
            </w:r>
          </w:p>
        </w:tc>
        <w:tc>
          <w:tcPr>
            <w:tcW w:type="dxa" w:w="626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Keine Analyse- oder Werbe-Bausteine, keine Werbung, keine Datenweitergabe an Dritte.</w:t>
            </w:r>
          </w:p>
        </w:tc>
      </w:tr>
      <w:tr>
        <w:tc>
          <w:tcPr>
            <w:tcW w:type="dxa" w:w="310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Einwilligung zuerst</w:t>
            </w:r>
          </w:p>
        </w:tc>
        <w:tc>
          <w:tcPr>
            <w:tcW w:type="dxa" w:w="6260"/>
            <w:shd w:fill="F4F6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Vor dem ersten Scan wird verständlich erklärt und aktiv zugestimmt (Art. 6 &amp; 9 DSGVO).</w:t>
            </w:r>
          </w:p>
        </w:tc>
      </w:tr>
      <w:tr>
        <w:tc>
          <w:tcPr>
            <w:tcW w:type="dxa" w:w="310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0"/>
                <w:szCs w:val="20"/>
              </w:rPr>
              <w:t xml:space="preserve">Server-Härtung</w:t>
            </w:r>
          </w:p>
        </w:tc>
        <w:tc>
          <w:tcPr>
            <w:tcW w:type="dxa" w:w="6260"/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 w:line="252"/>
            </w:pPr>
            <w:r>
              <w:rPr>
                <w:rFonts w:ascii="Calibri" w:cs="Calibri" w:eastAsia="Calibri" w:hAnsi="Calibri"/>
                <w:color w:val="1A202C"/>
                <w:sz w:val="20"/>
                <w:szCs w:val="20"/>
              </w:rPr>
              <w:t xml:space="preserve">KI-Zugang nur serverseitig, Anfrage-Limits pro Gerät und pro IP-Adresse.</w:t>
            </w:r>
          </w:p>
        </w:tc>
      </w:tr>
    </w:tbl>
    <w:p>
      <w:pPr>
        <w:pStyle w:val="Heading1"/>
        <w:pageBreakBefore/>
        <w:spacing w:after="140" w:before="320"/>
      </w:pPr>
      <w:r>
        <w:rPr>
          <w:rFonts w:ascii="Calibri" w:cs="Calibri" w:eastAsia="Calibri" w:hAnsi="Calibri"/>
          <w:b/>
          <w:bCs/>
          <w:color w:val="1A365D"/>
          <w:sz w:val="30"/>
          <w:szCs w:val="30"/>
        </w:rPr>
        <w:t xml:space="preserve">Woran wir transparent erinnern</w:t>
      </w:r>
    </w:p>
    <w:p>
      <w:pPr>
        <w:spacing w:after="120" w:line="276"/>
      </w:pPr>
      <w:r>
        <w:rPr>
          <w:rFonts w:ascii="Calibri" w:cs="Calibri" w:eastAsia="Calibri" w:hAnsi="Calibri"/>
          <w:i/>
          <w:iCs/>
          <w:color w:val="5A6472"/>
          <w:sz w:val="21"/>
          <w:szCs w:val="21"/>
        </w:rPr>
        <w:t xml:space="preserve">Vertrauen entsteht durch Ehrlichkeit — deshalb benennen wir auch das, was nicht perfekt ist: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b/>
          <w:bCs/>
          <w:color w:val="1A202C"/>
          <w:sz w:val="21"/>
          <w:szCs w:val="21"/>
        </w:rPr>
        <w:t xml:space="preserve">Verarbeitung in den USA: </w:t>
      </w:r>
      <w:r>
        <w:rPr>
          <w:rFonts w:ascii="Calibri" w:cs="Calibri" w:eastAsia="Calibri" w:hAnsi="Calibri"/>
          <w:color w:val="1A202C"/>
          <w:sz w:val="21"/>
          <w:szCs w:val="21"/>
        </w:rPr>
        <w:t xml:space="preserve">Die KI-Analyse läuft bei Anthropic (USA), auf Grundlage des EU-U.S. Data Privacy Framework bzw. EU-Standardvertragsklauseln. Eine Verarbeitung in der EU ist beim Anbieter derzeit nicht verfügbar; als Ausbaupfad prüfen wir den Betrieb über EU-Rechenzentren (AWS Frankfurt).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b/>
          <w:bCs/>
          <w:color w:val="1A202C"/>
          <w:sz w:val="21"/>
          <w:szCs w:val="21"/>
        </w:rPr>
        <w:t xml:space="preserve">30-Tage-Fenster: </w:t>
      </w:r>
      <w:r>
        <w:rPr>
          <w:rFonts w:ascii="Calibri" w:cs="Calibri" w:eastAsia="Calibri" w:hAnsi="Calibri"/>
          <w:color w:val="1A202C"/>
          <w:sz w:val="21"/>
          <w:szCs w:val="21"/>
        </w:rPr>
        <w:t xml:space="preserve">Anthropic hält Anfragen bis zu 30 Tage zur Missbrauchserkennung vor — danach automatische Löschung. Wir sagen das offen, statt „Ihre Daten verlassen nie das Handy" zu behaupten.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b/>
          <w:bCs/>
          <w:color w:val="1A202C"/>
          <w:sz w:val="21"/>
          <w:szCs w:val="21"/>
        </w:rPr>
        <w:t xml:space="preserve">Keine Rechtsberatung: </w:t>
      </w:r>
      <w:r>
        <w:rPr>
          <w:rFonts w:ascii="Calibri" w:cs="Calibri" w:eastAsia="Calibri" w:hAnsi="Calibri"/>
          <w:color w:val="1A202C"/>
          <w:sz w:val="21"/>
          <w:szCs w:val="21"/>
        </w:rPr>
        <w:t xml:space="preserve">Die App erklärt Briefe, ersetzt aber keine Beratung — sie ist als Ergänzung Ihrer Arbeit gedacht, nicht als Ersatz.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b/>
          <w:bCs/>
          <w:color w:val="1A202C"/>
          <w:sz w:val="21"/>
          <w:szCs w:val="21"/>
        </w:rPr>
        <w:t xml:space="preserve">Transparenz: </w:t>
      </w:r>
      <w:r>
        <w:rPr>
          <w:rFonts w:ascii="Calibri" w:cs="Calibri" w:eastAsia="Calibri" w:hAnsi="Calibri"/>
          <w:color w:val="1A202C"/>
          <w:sz w:val="21"/>
          <w:szCs w:val="21"/>
        </w:rPr>
        <w:t xml:space="preserve">Dieses Dokument ist eine Selbstauskunft, kein Zertifikat. Die vollständige Datenschutzerklärung ist öffentlich unter behoerdenklar.pages.dev/datenschutz.</w:t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A365D"/>
          <w:sz w:val="30"/>
          <w:szCs w:val="30"/>
        </w:rPr>
        <w:t xml:space="preserve">Warum das für Ihre Beratungsarbeit interessant ist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color w:val="1A202C"/>
          <w:sz w:val="21"/>
          <w:szCs w:val="21"/>
        </w:rPr>
        <w:t xml:space="preserve">Klientinnen und Klienten verstehen Briefe bereits vor dem Termin — Ihre Beratungszeit fließt in die Lösung, nicht ins Vorlesen.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color w:val="1A202C"/>
          <w:sz w:val="21"/>
          <w:szCs w:val="21"/>
        </w:rPr>
        <w:t xml:space="preserve">9 Übersetzungssprachen (u. a. Türkisch, Arabisch, Ukrainisch, Farsi) — die deutschen Fachbegriffe bleiben sichtbar und wiedererkennbar.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rFonts w:ascii="Calibri" w:cs="Calibri" w:eastAsia="Calibri" w:hAnsi="Calibri"/>
          <w:color w:val="1A202C"/>
          <w:sz w:val="21"/>
          <w:szCs w:val="21"/>
        </w:rPr>
        <w:t xml:space="preserve">Große Schrift, große Tasten, einfache Sprache (A2/B1), Vorlese-Funktion — gebaut für Menschen, für die normale Apps zu kompliziert sind.</w:t>
      </w:r>
    </w:p>
    <w:p>
      <w:pPr>
        <w:spacing w:before="200"/>
      </w:pPr>
    </w:p>
    <w:tbl>
      <w:tblPr>
        <w:tblW w:type="dxa" w:w="9360"/>
        <w:tblBorders>
          <w:top w:val="single" w:color="276749" w:sz="2"/>
          <w:left w:val="single" w:color="276749" w:sz="18"/>
          <w:bottom w:val="single" w:color="276749" w:sz="2"/>
          <w:right w:val="single" w:color="276749" w:sz="2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EAF6EE" w:color="auto" w:val="clear"/>
            <w:tcMar>
              <w:top w:type="dxa" w:w="150"/>
              <w:left w:type="dxa" w:w="170"/>
              <w:bottom w:type="dxa" w:w="150"/>
              <w:right w:type="dxa" w:w="170"/>
            </w:tcMar>
          </w:tcPr>
          <w:p>
            <w:pPr>
              <w:spacing w:after="60" w:line="276"/>
            </w:pPr>
            <w:r>
              <w:rPr>
                <w:rFonts w:ascii="Calibri" w:cs="Calibri" w:eastAsia="Calibri" w:hAnsi="Calibri"/>
                <w:b/>
                <w:bCs/>
                <w:color w:val="276749"/>
                <w:sz w:val="22"/>
                <w:szCs w:val="22"/>
              </w:rPr>
              <w:t xml:space="preserve">Sprechen Sie uns an. </w:t>
            </w:r>
            <w:r>
              <w:rPr>
                <w:rFonts w:ascii="Calibri" w:cs="Calibri" w:eastAsia="Calibri" w:hAnsi="Calibri"/>
                <w:color w:val="1A202C"/>
                <w:sz w:val="21"/>
                <w:szCs w:val="21"/>
              </w:rPr>
              <w:t xml:space="preserve">Wir zeigen die App gern persönlich und beantworten jede Datenschutz-Rückfrage.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202C"/>
                <w:sz w:val="21"/>
                <w:szCs w:val="21"/>
              </w:rPr>
              <w:t xml:space="preserve">📧  behoerdenbriefhelfer@gmail.com      🌐  behoerdenklar.pages.dev</w:t>
            </w:r>
          </w:p>
        </w:tc>
      </w:tr>
    </w:tbl>
    <w:sectPr>
      <w:pgSz w:w="11906" w:h="16838" w:orient="portrait"/>
      <w:pgMar w:top="1250" w:right="1418" w:bottom="1250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1A365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0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BehördenKlar — Datenschutz &amp; Sicherheit</dc:title>
  <dc:creator>BehördenKlar</dc:creator>
  <cp:lastModifiedBy>Un-named</cp:lastModifiedBy>
  <cp:revision>1</cp:revision>
  <dcterms:created xsi:type="dcterms:W3CDTF">2026-07-16T06:30:02.029Z</dcterms:created>
  <dcterms:modified xsi:type="dcterms:W3CDTF">2026-07-16T06:30:02.034Z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